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2640E">
      <w:pPr>
        <w:keepNext w:val="0"/>
        <w:keepLines w:val="0"/>
        <w:widowControl/>
        <w:suppressLineNumbers w:val="0"/>
        <w:jc w:val="center"/>
        <w:rPr>
          <w:rFonts w:hint="eastAsia" w:ascii="Bold" w:hAnsi="Bold" w:eastAsia="Bold" w:cs="Bold"/>
          <w:b/>
          <w:bCs/>
          <w:color w:val="000000"/>
          <w:kern w:val="0"/>
          <w:sz w:val="36"/>
          <w:szCs w:val="36"/>
          <w:lang w:val="en-US" w:eastAsia="zh-CN" w:bidi="ar"/>
        </w:rPr>
      </w:pPr>
      <w:r>
        <w:rPr>
          <w:rFonts w:ascii="Bold" w:hAnsi="Bold" w:eastAsia="Bold" w:cs="Bold"/>
          <w:b/>
          <w:bCs/>
          <w:color w:val="000000"/>
          <w:kern w:val="0"/>
          <w:sz w:val="36"/>
          <w:szCs w:val="36"/>
          <w:lang w:val="en-US" w:eastAsia="zh-CN" w:bidi="ar"/>
        </w:rPr>
        <w:t>新晃侗族自治县乡村振兴局</w:t>
      </w:r>
      <w:r>
        <w:rPr>
          <w:rFonts w:hint="eastAsia" w:ascii="仿宋" w:hAnsi="仿宋" w:eastAsia="仿宋" w:cs="仿宋"/>
          <w:b/>
          <w:bCs/>
          <w:color w:val="000000"/>
          <w:kern w:val="0"/>
          <w:sz w:val="36"/>
          <w:szCs w:val="36"/>
          <w:lang w:val="en-US" w:eastAsia="zh-CN" w:bidi="ar"/>
        </w:rPr>
        <w:t xml:space="preserve"> 2023</w:t>
      </w:r>
      <w:r>
        <w:rPr>
          <w:rFonts w:hint="eastAsia" w:ascii="Bold" w:hAnsi="Bold" w:eastAsia="Bold" w:cs="Bold"/>
          <w:b/>
          <w:bCs/>
          <w:color w:val="000000"/>
          <w:kern w:val="0"/>
          <w:sz w:val="36"/>
          <w:szCs w:val="36"/>
          <w:lang w:val="en-US" w:eastAsia="zh-CN" w:bidi="ar"/>
        </w:rPr>
        <w:t>年度</w:t>
      </w:r>
    </w:p>
    <w:p w14:paraId="1CA73D97">
      <w:pPr>
        <w:keepNext w:val="0"/>
        <w:keepLines w:val="0"/>
        <w:widowControl/>
        <w:suppressLineNumbers w:val="0"/>
        <w:jc w:val="center"/>
        <w:rPr>
          <w:rFonts w:hint="eastAsia" w:ascii="Bold" w:hAnsi="Bold" w:eastAsia="Bold" w:cs="Bold"/>
          <w:b/>
          <w:bCs/>
          <w:color w:val="000000"/>
          <w:kern w:val="0"/>
          <w:sz w:val="36"/>
          <w:szCs w:val="36"/>
          <w:lang w:val="en-US" w:eastAsia="zh-CN" w:bidi="ar"/>
        </w:rPr>
      </w:pPr>
      <w:r>
        <w:rPr>
          <w:rFonts w:hint="eastAsia" w:ascii="Bold" w:hAnsi="Bold" w:eastAsia="Bold" w:cs="Bold"/>
          <w:b/>
          <w:bCs/>
          <w:color w:val="000000"/>
          <w:kern w:val="0"/>
          <w:sz w:val="36"/>
          <w:szCs w:val="36"/>
          <w:lang w:val="en-US" w:eastAsia="zh-CN" w:bidi="ar"/>
        </w:rPr>
        <w:t>预算绩效情况的说明</w:t>
      </w:r>
    </w:p>
    <w:p w14:paraId="6858B491">
      <w:pPr>
        <w:keepNext w:val="0"/>
        <w:keepLines w:val="0"/>
        <w:widowControl/>
        <w:suppressLineNumbers w:val="0"/>
        <w:jc w:val="center"/>
        <w:rPr>
          <w:rFonts w:hint="eastAsia" w:ascii="Bold" w:hAnsi="Bold" w:eastAsia="Bold" w:cs="Bold"/>
          <w:b/>
          <w:bCs/>
          <w:color w:val="000000"/>
          <w:kern w:val="0"/>
          <w:sz w:val="36"/>
          <w:szCs w:val="36"/>
          <w:lang w:val="en-US" w:eastAsia="zh-CN" w:bidi="ar"/>
        </w:rPr>
      </w:pPr>
    </w:p>
    <w:p w14:paraId="0071B726">
      <w:pPr>
        <w:keepNext w:val="0"/>
        <w:keepLines w:val="0"/>
        <w:widowControl/>
        <w:suppressLineNumbers w:val="0"/>
        <w:ind w:firstLine="643" w:firstLineChars="200"/>
        <w:jc w:val="left"/>
      </w:pPr>
      <w:r>
        <w:rPr>
          <w:rFonts w:ascii="黑体" w:hAnsi="宋体" w:eastAsia="黑体" w:cs="黑体"/>
          <w:b/>
          <w:bCs/>
          <w:color w:val="000000"/>
          <w:kern w:val="0"/>
          <w:sz w:val="32"/>
          <w:szCs w:val="32"/>
          <w:lang w:val="en-US" w:eastAsia="zh-CN" w:bidi="ar"/>
        </w:rPr>
        <w:t xml:space="preserve">一、部门基本概况 </w:t>
      </w:r>
      <w:bookmarkStart w:id="0" w:name="_GoBack"/>
      <w:bookmarkEnd w:id="0"/>
    </w:p>
    <w:p w14:paraId="4386F12E">
      <w:pPr>
        <w:keepNext w:val="0"/>
        <w:keepLines w:val="0"/>
        <w:widowControl/>
        <w:suppressLineNumbers w:val="0"/>
        <w:ind w:firstLine="643" w:firstLineChars="200"/>
        <w:jc w:val="left"/>
      </w:pPr>
      <w:r>
        <w:rPr>
          <w:rFonts w:hint="default" w:ascii="仿宋_GB2312" w:hAnsi="仿宋_GB2312" w:eastAsia="仿宋_GB2312" w:cs="仿宋_GB2312"/>
          <w:b/>
          <w:bCs/>
          <w:color w:val="000000"/>
          <w:kern w:val="0"/>
          <w:sz w:val="32"/>
          <w:szCs w:val="32"/>
          <w:lang w:val="en-US" w:eastAsia="zh-CN" w:bidi="ar"/>
        </w:rPr>
        <w:t xml:space="preserve">（一）职能职责 </w:t>
      </w:r>
    </w:p>
    <w:p w14:paraId="2129097C">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1.贯彻执行党和国家及省、市有关巩固拓展脱贫攻坚成果 同乡村振兴有效衔接工作方针、政策，结合实际制定具体配套 措施并组织实施；负责全县巩固拓展脱贫攻坚成果同乡村振兴 有效衔接工作的统筹协调、服务指导和监督管理工作。 </w:t>
      </w:r>
    </w:p>
    <w:p w14:paraId="33174159">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2.在全县经济社会发展总体规划的框架内，拟订全县巩固拓展脱贫攻坚成果同乡村振兴有效衔接工作规划和年度工作计划并组织实施。 </w:t>
      </w:r>
    </w:p>
    <w:p w14:paraId="4A8D18C9">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3.负责脱贫人口动态监测帮扶、小额信贷、涉农资金整合计划、消费帮扶、村级光伏电站管理、脱贫人口外出务工、致富带头人培训，“雨露计划”审核发放工作。 </w:t>
      </w:r>
    </w:p>
    <w:p w14:paraId="0497312E">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4.负责全县扶贫资产和后期扶持项目的管理指导，会同有关部门对全县扶贫资产和后期扶持项目的实施情况进行监督检查。 </w:t>
      </w:r>
    </w:p>
    <w:p w14:paraId="54E5BD85">
      <w:pPr>
        <w:keepNext w:val="0"/>
        <w:keepLines w:val="0"/>
        <w:widowControl/>
        <w:suppressLineNumbers w:val="0"/>
        <w:ind w:firstLine="640" w:firstLineChars="200"/>
        <w:jc w:val="left"/>
        <w:rPr>
          <w:rFonts w:ascii="仿宋_GB2312" w:hAnsi="仿宋_GB2312" w:eastAsia="仿宋_GB2312" w:cs="仿宋_GB2312"/>
          <w:color w:val="000000"/>
          <w:kern w:val="0"/>
          <w:sz w:val="32"/>
          <w:szCs w:val="32"/>
          <w:lang w:val="en-US" w:eastAsia="zh-CN" w:bidi="ar"/>
        </w:rPr>
      </w:pPr>
      <w:r>
        <w:rPr>
          <w:rFonts w:ascii="仿宋_GB2312" w:hAnsi="仿宋_GB2312" w:eastAsia="仿宋_GB2312" w:cs="仿宋_GB2312"/>
          <w:color w:val="000000"/>
          <w:kern w:val="0"/>
          <w:sz w:val="32"/>
          <w:szCs w:val="32"/>
          <w:lang w:val="en-US" w:eastAsia="zh-CN" w:bidi="ar"/>
        </w:rPr>
        <w:t>5.承担县委实施乡村振兴战略领导小组办公室日常工作，完成县委、县政府交办的其他任务。</w:t>
      </w:r>
    </w:p>
    <w:p w14:paraId="751E3461">
      <w:pPr>
        <w:keepNext w:val="0"/>
        <w:keepLines w:val="0"/>
        <w:widowControl/>
        <w:suppressLineNumbers w:val="0"/>
        <w:ind w:firstLine="643" w:firstLineChars="200"/>
        <w:jc w:val="left"/>
      </w:pPr>
      <w:r>
        <w:rPr>
          <w:rFonts w:hint="default" w:ascii="仿宋_GB2312" w:hAnsi="仿宋_GB2312" w:eastAsia="仿宋_GB2312" w:cs="仿宋_GB2312"/>
          <w:b/>
          <w:bCs/>
          <w:color w:val="000000"/>
          <w:kern w:val="0"/>
          <w:sz w:val="32"/>
          <w:szCs w:val="32"/>
          <w:lang w:val="en-US" w:eastAsia="zh-CN" w:bidi="ar"/>
        </w:rPr>
        <w:t xml:space="preserve">（二）机构设置 </w:t>
      </w:r>
    </w:p>
    <w:p w14:paraId="2DE2C5C9">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我局机关共内设 5 个股室，即：综合股（办公室）、规划财 务和项目股、行业协调和社会股、贫困监测和法规股、驻村指 导和督查股。下属事业单位 1 个，即，扶贫产业服务中心。共 核定编制 18 名，实有 18 人。其中：核定机关行政编制 7 名， 实有 6 人；机关后勤服务全额拨款事业编制 1 名，实有 2 人；扶贫产业服务中心编制事业编制 12 个，实有 10 人。临聘人员 3 人。 </w:t>
      </w:r>
    </w:p>
    <w:p w14:paraId="0157170E">
      <w:pPr>
        <w:pStyle w:val="4"/>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4065D237">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2023 年本单位一般公共预算拨款支出预算 1810.27 万元，其中：社会保障和就业支出 20.09 万元，占 1.11%；卫生健康支出 10.67 万元，占 0.59%；农林水支出 1764.44 万元，占97.47%；住房保障支出 15.07 万元，占 0.83%。具体安排情况如下： </w:t>
      </w:r>
    </w:p>
    <w:p w14:paraId="3E720101">
      <w:pPr>
        <w:keepNext w:val="0"/>
        <w:keepLines w:val="0"/>
        <w:widowControl/>
        <w:numPr>
          <w:ilvl w:val="0"/>
          <w:numId w:val="1"/>
        </w:numPr>
        <w:suppressLineNumbers w:val="0"/>
        <w:ind w:firstLine="643" w:firstLineChars="200"/>
        <w:jc w:val="left"/>
        <w:rPr>
          <w:rFonts w:ascii="仿宋_GB2312" w:hAnsi="仿宋_GB2312" w:eastAsia="仿宋_GB2312" w:cs="仿宋_GB2312"/>
          <w:color w:val="000000"/>
          <w:kern w:val="0"/>
          <w:sz w:val="32"/>
          <w:szCs w:val="32"/>
          <w:lang w:val="en-US" w:eastAsia="zh-CN" w:bidi="ar"/>
        </w:rPr>
      </w:pPr>
      <w:r>
        <w:rPr>
          <w:rFonts w:ascii="仿宋_GB2312" w:hAnsi="仿宋_GB2312" w:eastAsia="仿宋_GB2312" w:cs="仿宋_GB2312"/>
          <w:b/>
          <w:bCs/>
          <w:color w:val="000000"/>
          <w:kern w:val="0"/>
          <w:sz w:val="32"/>
          <w:szCs w:val="32"/>
          <w:lang w:val="en-US" w:eastAsia="zh-CN" w:bidi="ar"/>
        </w:rPr>
        <w:t>基本支出：</w:t>
      </w:r>
      <w:r>
        <w:rPr>
          <w:rFonts w:ascii="仿宋_GB2312" w:hAnsi="仿宋_GB2312" w:eastAsia="仿宋_GB2312" w:cs="仿宋_GB2312"/>
          <w:color w:val="000000"/>
          <w:kern w:val="0"/>
          <w:sz w:val="32"/>
          <w:szCs w:val="32"/>
          <w:lang w:val="en-US" w:eastAsia="zh-CN" w:bidi="ar"/>
        </w:rPr>
        <w:t>2023 年本单位基本支出预算数 237.20 万元，主要是为保障单位正常运转、完成日常工作任务而发生的各项支出，包括用于基本工资、津贴补贴等人员经费以及办公费、印刷费、水电费、办公设备购置等公用经费。</w:t>
      </w:r>
    </w:p>
    <w:p w14:paraId="20C2E5E7">
      <w:pPr>
        <w:keepNext w:val="0"/>
        <w:keepLines w:val="0"/>
        <w:widowControl/>
        <w:numPr>
          <w:ilvl w:val="0"/>
          <w:numId w:val="0"/>
        </w:numPr>
        <w:suppressLineNumbers w:val="0"/>
        <w:ind w:firstLine="643" w:firstLineChars="200"/>
        <w:jc w:val="left"/>
        <w:rPr>
          <w:rFonts w:ascii="仿宋_GB2312" w:hAnsi="仿宋_GB2312" w:eastAsia="仿宋_GB2312" w:cs="仿宋_GB2312"/>
          <w:color w:val="000000"/>
          <w:kern w:val="0"/>
          <w:sz w:val="32"/>
          <w:szCs w:val="32"/>
          <w:lang w:val="en-US" w:eastAsia="zh-CN" w:bidi="ar"/>
        </w:rPr>
      </w:pPr>
      <w:r>
        <w:rPr>
          <w:rFonts w:ascii="仿宋_GB2312" w:hAnsi="仿宋_GB2312" w:eastAsia="仿宋_GB2312" w:cs="仿宋_GB2312"/>
          <w:b/>
          <w:bCs/>
          <w:color w:val="000000"/>
          <w:kern w:val="0"/>
          <w:sz w:val="32"/>
          <w:szCs w:val="32"/>
          <w:lang w:val="en-US" w:eastAsia="zh-CN" w:bidi="ar"/>
        </w:rPr>
        <w:t>（二）项目支出：</w:t>
      </w:r>
      <w:r>
        <w:rPr>
          <w:rFonts w:ascii="仿宋_GB2312" w:hAnsi="仿宋_GB2312" w:eastAsia="仿宋_GB2312" w:cs="仿宋_GB2312"/>
          <w:color w:val="000000"/>
          <w:kern w:val="0"/>
          <w:sz w:val="32"/>
          <w:szCs w:val="32"/>
          <w:lang w:val="en-US" w:eastAsia="zh-CN" w:bidi="ar"/>
        </w:rPr>
        <w:t xml:space="preserve">2023 年本单位项目支出预算 1573.07 万元，主要是单位为完成特定行政工作任务或事业发展目标而发生的支出，包括有关事业发展专项、专项业务费、基本建设支出等，其中：风险补偿金 200.00 万元，主要用于根据《关于进一步明确扶贫小额信贷风险补偿金和统贷统还问题的意见》(湘扶办联〔2015〕26 号)文件要求，“需要根据当年贷款目标任务和实际放贷量，按照 1:10 的比率实行弹性增长机制，及时扩充风险补偿金规模”。精准防贫综合保险 350.00 万元，主要用于在原有的“乡村人口的 10%作为投保基数，保费 100 元/人/年，精准防贫综合保险 2.0 版本”基础上，增加特色产业保险品类；新建户厕质量保险 15.00 万元，主要用于新建户厕质量保险,50 元/户，新建 3000 户；驻村工作队工作经费 146.00 万元，主要用于驻村工作队工作经费,县派每村 1 万元×128 村=128 万；省市每村 2 万元×9 村=18 万；驻村工作队员补贴 821.28 万元，主要用于驻村工作队下队补助,工作队员补助657.36万元（2200元/人/月 249 人），交通补贴 294 人 128.16 万元，通讯费 298人 35.76 万元（100 元/人/月）；驻村工作队员人身意外伤害保险费 17.64 万元，主要用于驻村工作队人身意外伤害保险保费 94 人 17.64 万元（600 元/人/年）；专项业务经费 23.15 万元，主要用于衔接乡村振兴项目管理工作经费、贫困对象建档立卡工作经费、党建经费、计生经费、综治经费、安全生产经费、扶贫经费等。 </w:t>
      </w:r>
    </w:p>
    <w:p w14:paraId="0ECF2833">
      <w:pPr>
        <w:pStyle w:val="4"/>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6314F826">
      <w:pPr>
        <w:keepNext w:val="0"/>
        <w:keepLines w:val="0"/>
        <w:pageBreakBefore w:val="0"/>
        <w:kinsoku/>
        <w:wordWrap/>
        <w:overflowPunct/>
        <w:topLinePunct w:val="0"/>
        <w:autoSpaceDE/>
        <w:autoSpaceDN/>
        <w:bidi w:val="0"/>
        <w:adjustRightInd/>
        <w:snapToGrid/>
        <w:spacing w:line="560" w:lineRule="exact"/>
        <w:ind w:firstLine="640" w:firstLineChars="200"/>
        <w:jc w:val="left"/>
        <w:rPr>
          <w:rFonts w:hint="eastAsia" w:ascii="仿宋_GB2312" w:eastAsia="仿宋_GB2312"/>
          <w:sz w:val="32"/>
          <w:szCs w:val="32"/>
          <w:highlight w:val="none"/>
        </w:rPr>
      </w:pPr>
      <w:r>
        <w:rPr>
          <w:rFonts w:hint="eastAsia" w:ascii="仿宋_GB2312" w:hAnsi="仿宋" w:eastAsia="仿宋_GB2312" w:cs="宋体"/>
          <w:color w:val="333333"/>
          <w:kern w:val="0"/>
          <w:sz w:val="32"/>
          <w:szCs w:val="32"/>
          <w:highlight w:val="none"/>
        </w:rPr>
        <w:t>从财政批复我局部门预算看，部门预算基本围绕保人员经费、公用经费包干进行。从实际工资运行和决算情况看，除基本支出外，单位每年要负担一些财政无预算的刚性支出，如</w:t>
      </w:r>
      <w:r>
        <w:rPr>
          <w:rFonts w:hint="eastAsia" w:ascii="仿宋_GB2312" w:hAnsi="仿宋" w:eastAsia="仿宋_GB2312" w:cs="宋体"/>
          <w:color w:val="333333"/>
          <w:kern w:val="0"/>
          <w:sz w:val="32"/>
          <w:szCs w:val="32"/>
          <w:highlight w:val="none"/>
          <w:lang w:eastAsia="zh-CN"/>
        </w:rPr>
        <w:t>项目运行</w:t>
      </w:r>
      <w:r>
        <w:rPr>
          <w:rFonts w:hint="eastAsia" w:ascii="仿宋_GB2312" w:hAnsi="仿宋" w:eastAsia="仿宋_GB2312" w:cs="宋体"/>
          <w:color w:val="333333"/>
          <w:kern w:val="0"/>
          <w:sz w:val="32"/>
          <w:szCs w:val="32"/>
          <w:highlight w:val="none"/>
        </w:rPr>
        <w:t>工作支出没有预算公用经费等，资金缺口大，单位只能靠挤占基本支出和项目经费，单位运转困难。同时，也造成单位难以按照部门预算使用资金。</w:t>
      </w:r>
    </w:p>
    <w:p w14:paraId="2F65C1CE"/>
    <w:p w14:paraId="3EAE7CF6">
      <w:pPr>
        <w:keepNext w:val="0"/>
        <w:keepLines w:val="0"/>
        <w:widowControl/>
        <w:suppressLineNumbers w:val="0"/>
        <w:jc w:val="left"/>
        <w:rPr>
          <w:rFonts w:hint="eastAsia" w:ascii="仿宋_GB2312" w:hAnsi="仿宋_GB2312" w:eastAsia="仿宋_GB2312" w:cs="仿宋_GB2312"/>
          <w:color w:val="000000"/>
          <w:kern w:val="0"/>
          <w:sz w:val="32"/>
          <w:szCs w:val="32"/>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old">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13F98"/>
    <w:multiLevelType w:val="singleLevel"/>
    <w:tmpl w:val="F1C13F9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612D4784"/>
    <w:rsid w:val="40D22431"/>
    <w:rsid w:val="612D4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1438</Words>
  <Characters>1600</Characters>
  <Lines>0</Lines>
  <Paragraphs>0</Paragraphs>
  <TotalTime>1</TotalTime>
  <ScaleCrop>false</ScaleCrop>
  <LinksUpToDate>false</LinksUpToDate>
  <CharactersWithSpaces>1708</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2024-11-11T01:00:00Z</dcterms:created>
  <dc:creator>记意</dc:creator>
  <cp:lastModifiedBy>摇曳</cp:lastModifiedBy>
  <dcterms:modified xsi:type="dcterms:W3CDTF">2024-11-26T07:31:06Z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8D7E9AAE27CA4B71A7A73DEA512BCDC9_11</vt:lpwstr>
  </property>
</Properties>
</file>